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23B5D"/>
          <w:sz w:val="40"/>
        </w:rPr>
        <w:t>FIRMLIVO – Lehrplanpassung im Überblick</w:t>
      </w:r>
    </w:p>
    <w:p>
      <w:pPr>
        <w:spacing w:after="160"/>
      </w:pPr>
      <w:r>
        <w:rPr>
          <w:rFonts w:ascii="Arial" w:hAnsi="Arial"/>
          <w:b w:val="0"/>
          <w:color w:val="4B5563"/>
          <w:sz w:val="19"/>
        </w:rPr>
        <w:t>Realschule Bayern · Betriebswirtschaftslehre/Rechnungswesen (BwR) · aktueller FIRMLIVO-Funktionsstand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97"/>
        <w:gridCol w:w="5197"/>
        <w:gridCol w:w="5197"/>
      </w:tblGrid>
      <w:tr>
        <w:tc>
          <w:tcPr>
            <w:tcW w:type="dxa" w:w="5159"/>
            <w:shd w:fill="DDEBF7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 – zentrale Prozesse direkt und durchgängig abbildbar</w:t>
            </w:r>
          </w:p>
        </w:tc>
        <w:tc>
          <w:tcPr>
            <w:tcW w:type="dxa" w:w="5159"/>
            <w:shd w:fill="E2F0D9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HOCH – direkt nutzbar, mit einzelnen fachlichen Ergänzungen</w:t>
            </w:r>
          </w:p>
        </w:tc>
        <w:tc>
          <w:tcPr>
            <w:tcW w:type="dxa" w:w="5159"/>
            <w:shd w:fill="FFF2CC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ERGÄNZEND – FIRMLIVO liefert Daten oder Handlungssituation</w:t>
            </w:r>
          </w:p>
        </w:tc>
      </w:tr>
    </w:tbl>
    <w:p>
      <w:pPr>
        <w:spacing w:after="0" w:before="80"/>
      </w:pPr>
    </w:p>
    <w:p>
      <w:pPr>
        <w:spacing w:before="0" w:after="100"/>
      </w:pPr>
      <w:r>
        <w:rPr>
          <w:rFonts w:ascii="Arial" w:hAnsi="Arial"/>
          <w:b/>
          <w:color w:val="0F5B78"/>
          <w:sz w:val="25"/>
        </w:rPr>
        <w:t>Betriebswirtschaftslehre/Rechnungswesen (BwR) – Jahrgangsstufen 7 bis 10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4B5563"/>
          <w:left w:val="single" w:sz="5" w:space="0" w:color="4B5563"/>
          <w:bottom w:val="single" w:sz="5" w:space="0" w:color="4B5563"/>
          <w:right w:val="single" w:sz="5" w:space="0" w:color="4B5563"/>
          <w:insideH w:val="single" w:sz="5" w:space="0" w:color="4B5563"/>
          <w:insideV w:val="single" w:sz="5" w:space="0" w:color="4B5563"/>
        </w:tblBorders>
      </w:tblPr>
      <w:tblGrid>
        <w:gridCol w:w="3118"/>
        <w:gridCol w:w="3118"/>
        <w:gridCol w:w="3118"/>
        <w:gridCol w:w="3118"/>
        <w:gridCol w:w="3118"/>
      </w:tblGrid>
      <w:tr>
        <w:trPr>
          <w:tblHeader w:val="true"/>
          <w:cantSplit/>
        </w:trPr>
        <w:tc>
          <w:tcPr>
            <w:tcW w:type="dxa" w:w="1247"/>
            <w:shd w:fill="123B5D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Jgst.</w:t>
            </w:r>
          </w:p>
        </w:tc>
        <w:tc>
          <w:tcPr>
            <w:tcW w:type="dxa" w:w="4053"/>
            <w:shd w:fill="123B5D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Zentrale Lehrplaninhalte</w:t>
            </w:r>
          </w:p>
        </w:tc>
        <w:tc>
          <w:tcPr>
            <w:tcW w:type="dxa" w:w="4337"/>
            <w:shd w:fill="123B5D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Abbildung in FIRMLIVO (aktuell)</w:t>
            </w:r>
          </w:p>
        </w:tc>
        <w:tc>
          <w:tcPr>
            <w:tcW w:type="dxa" w:w="4478"/>
            <w:shd w:fill="123B5D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Typische Lernhandlung</w:t>
            </w:r>
          </w:p>
        </w:tc>
        <w:tc>
          <w:tcPr>
            <w:tcW w:type="dxa" w:w="1360"/>
            <w:shd w:fill="123B5D" w:val="clear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Passung</w:t>
            </w:r>
          </w:p>
        </w:tc>
      </w:tr>
      <w:tr>
        <w:trPr>
          <w:cantSplit/>
        </w:trPr>
        <w:tc>
          <w:tcPr>
            <w:tcW w:type="dxa" w:w="124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7</w:t>
            </w:r>
          </w:p>
        </w:tc>
        <w:tc>
          <w:tcPr>
            <w:tcW w:type="dxa" w:w="4053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Unternehmen, Unternehmensziele und betriebliche Abläufe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Inventur, Inventar, Bilanz; Bestands- und Erfolgskonten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Belege, doppelte Buchführung, USt.; Beschaffung/Absatz, GuV und SBK</w:t>
            </w:r>
          </w:p>
        </w:tc>
        <w:tc>
          <w:tcPr>
            <w:tcW w:type="dxa" w:w="433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Übungsfirmen mit Profil, Website, Artikeln und Preislisten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Eröffnungsbilanz, Journal, Kontenblätter, GuV und Schlussbilanz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Rechnungen, Bank, Vorsteuer/Umsatzsteuer und zusammenhängende Geschäftsfälle</w:t>
            </w:r>
          </w:p>
        </w:tc>
        <w:tc>
          <w:tcPr>
            <w:tcW w:type="dxa" w:w="447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Beleg prüfen → Geschäftsfall analysieren → buchen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Rechnung bezahlen bzw. Zahlungseingang nachvollziehen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Beschaffung/Verkauf durchführen und Geschäftsjahr auswerten</w:t>
            </w:r>
          </w:p>
        </w:tc>
        <w:tc>
          <w:tcPr>
            <w:tcW w:type="dxa" w:w="136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DDEBF7" w:val="clea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  <w:tr>
        <w:trPr>
          <w:cantSplit/>
        </w:trPr>
        <w:tc>
          <w:tcPr>
            <w:tcW w:type="dxa" w:w="1247"/>
            <w:shd w:fill="F7FAFC" w:val="clear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8</w:t>
            </w:r>
          </w:p>
        </w:tc>
        <w:tc>
          <w:tcPr>
            <w:tcW w:type="dxa" w:w="4053"/>
            <w:shd w:fill="F7FAFC" w:val="clear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beleggestützter Geschäftsgang mit Kontenplan/IKR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Beschaffung, Marketing und Verkauf; Ein-/Ausgangsrechnungen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Personal sowie Unternehmen und Staat; Umsatzsteuerzahllast</w:t>
            </w:r>
          </w:p>
        </w:tc>
        <w:tc>
          <w:tcPr>
            <w:tcW w:type="dxa" w:w="4337"/>
            <w:shd w:fill="F7FAFC" w:val="clear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Belegfluss, Rechnungen, Bank, Journal, Konten und Jahresabschluss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Artikel-/Preislisten, Firmenkommunikation und Firmenwebsites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Vorsteuer/Umsatzsteuer, USt.-Auswertung und virtuelles Finanzamt</w:t>
            </w:r>
          </w:p>
        </w:tc>
        <w:tc>
          <w:tcPr>
            <w:tcW w:type="dxa" w:w="4478"/>
            <w:shd w:fill="F7FAFC" w:val="clear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Angebote vergleichen → bestellen → Rechnung prüfen → buchen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Produkte/Preise und Marketingauftritt der Firma beurteilen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USt.-Zahllast ermitteln und an das Finanzamt überweisen</w:t>
            </w:r>
          </w:p>
        </w:tc>
        <w:tc>
          <w:tcPr>
            <w:tcW w:type="dxa" w:w="136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E2F0D9" w:val="clea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HOCH</w:t>
            </w:r>
          </w:p>
        </w:tc>
      </w:tr>
      <w:tr>
        <w:trPr>
          <w:cantSplit/>
        </w:trPr>
        <w:tc>
          <w:tcPr>
            <w:tcW w:type="dxa" w:w="124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9</w:t>
            </w:r>
          </w:p>
        </w:tc>
        <w:tc>
          <w:tcPr>
            <w:tcW w:type="dxa" w:w="4053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Unternehmensführung und Einkommen des Unternehmers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Anlagen/Abschreibung; Finanzierung und Kapitalanlage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Zahlungsverzug, Mahnung und Bewertung von Forderungen</w:t>
            </w:r>
          </w:p>
        </w:tc>
        <w:tc>
          <w:tcPr>
            <w:tcW w:type="dxa" w:w="433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Übungsfirma liefert Unternehmenskontext und reale Geschäftsdaten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Miete, Reparaturen und Versicherungen als Geschäftsfälle buchbar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Bank/Forderungen vorhanden; kein Kredit-, Depot- oder vollständiger Mahnworkflow</w:t>
            </w:r>
          </w:p>
        </w:tc>
        <w:tc>
          <w:tcPr>
            <w:tcW w:type="dxa" w:w="447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Kosten- und Forderungsfälle im Firmenkontext bearbeiten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Finanzierungs-/Anlageentscheidungen extern ergänzen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FIRMLIVO-Daten für Buchungs- und Analyseaufgaben nutzen</w:t>
            </w:r>
          </w:p>
        </w:tc>
        <w:tc>
          <w:tcPr>
            <w:tcW w:type="dxa" w:w="136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ERGÄNZEND</w:t>
            </w:r>
          </w:p>
        </w:tc>
      </w:tr>
      <w:tr>
        <w:trPr>
          <w:cantSplit/>
        </w:trPr>
        <w:tc>
          <w:tcPr>
            <w:tcW w:type="dxa" w:w="1247"/>
            <w:shd w:fill="F7FAFC" w:val="clear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10</w:t>
            </w:r>
          </w:p>
        </w:tc>
        <w:tc>
          <w:tcPr>
            <w:tcW w:type="dxa" w:w="4053"/>
            <w:shd w:fill="F7FAFC" w:val="clear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periodenrichtige Erfolgsermittlung und Rückstellungen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Unternehmensabschluss und Bilanz-/GuV-Auswertung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Voll-/Teilkostenrechnung: BAB, Zuschläge, Deckungsbeitrag, Break-even</w:t>
            </w:r>
          </w:p>
        </w:tc>
        <w:tc>
          <w:tcPr>
            <w:tcW w:type="dxa" w:w="4337"/>
            <w:shd w:fill="F7FAFC" w:val="clear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GuV, Bestandskonten und Schlussbilanz direkt verfügbar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Abschlussdaten können für Kennzahlen genutzt werden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keine eigenen ARA/PRA/Rückstellungs- oder Kostenrechnungsworkflows</w:t>
            </w:r>
          </w:p>
        </w:tc>
        <w:tc>
          <w:tcPr>
            <w:tcW w:type="dxa" w:w="4478"/>
            <w:shd w:fill="F7FAFC" w:val="clear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• Jahresabschluss der Übungsfirma auswerten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Kennzahlen auf Basis der FIRMLIVO-Bilanz extern berechnen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F2937"/>
                <w:sz w:val="16"/>
              </w:rPr>
              <w:t>• Geschäftsdaten als Ausgangsmaterial für KLR-Aufgaben verwenden</w:t>
            </w:r>
          </w:p>
        </w:tc>
        <w:tc>
          <w:tcPr>
            <w:tcW w:type="dxa" w:w="136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ERGÄNZEND</w:t>
            </w:r>
          </w:p>
        </w:tc>
      </w:tr>
    </w:tbl>
    <w:p>
      <w:pPr>
        <w:spacing w:before="100" w:after="40"/>
      </w:pPr>
      <w:r>
        <w:rPr>
          <w:rFonts w:ascii="Arial" w:hAnsi="Arial"/>
          <w:b/>
          <w:color w:val="123B5D"/>
          <w:sz w:val="17"/>
        </w:rPr>
        <w:t xml:space="preserve">Kernaussage: </w:t>
      </w:r>
      <w:r>
        <w:rPr>
          <w:rFonts w:ascii="Arial" w:hAnsi="Arial"/>
          <w:b w:val="0"/>
          <w:color w:val="374151"/>
          <w:sz w:val="17"/>
        </w:rPr>
        <w:t>Die stärkste Passung liegt aktuell in BwR 7 und 8: Belegfluss, Beschaffung/Absatz, Rechnungen, Zahlungsverkehr, Umsatzsteuer sowie zentrale Schritte der Geschäftsbuchführung lassen sich praxisnah in einer durchgängigen Übungsfirma bearbeiten. In BwR 9 und 10 eignet sich FIRMLIVO derzeit vor allem als authentischer Unternehmens- und Datenrahmen; Anlagenbuchhaltung, Finanzierung, Periodenabgrenzung und Kostenrechnung sind noch nicht integriert.</w:t>
      </w:r>
    </w:p>
    <w:p>
      <w:pPr>
        <w:spacing w:before="0" w:after="0"/>
      </w:pPr>
      <w:r>
        <w:rPr>
          <w:rFonts w:ascii="Arial" w:hAnsi="Arial"/>
          <w:b/>
          <w:color w:val="6B7280"/>
          <w:sz w:val="14"/>
        </w:rPr>
        <w:t xml:space="preserve">Hinweis: </w:t>
      </w:r>
      <w:r>
        <w:rPr>
          <w:rFonts w:ascii="Arial" w:hAnsi="Arial"/>
          <w:b w:val="0"/>
          <w:color w:val="6B7280"/>
          <w:sz w:val="14"/>
        </w:rPr>
        <w:t>Die Übersicht orientiert sich an der Wahlpflichtfächergruppe II. IIIa folgt demselben Grundkonzept mit geringerem Vertiefungsumfang. Die Passungsbewertung bezieht sich auf Kompetenzen und Geschäftsprozesse; FIRMLIVO verwendet derzeit keinen speziell auf den Realschul-IKR abgestimmten Kontenplan.</w:t>
      </w:r>
    </w:p>
    <w:sectPr w:rsidR="00FC693F" w:rsidRPr="0006063C" w:rsidSect="00034616">
      <w:footerReference w:type="default" r:id="rId9"/>
      <w:pgSz w:w="16838" w:h="11906" w:orient="landscape"/>
      <w:pgMar w:top="624" w:right="624" w:bottom="567" w:left="624" w:header="283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color w:val="6B7280"/>
        <w:sz w:val="15"/>
      </w:rPr>
      <w:t>FIRMLIVO · LehrplanPLUS Bayern · Realschule BwR · Stand August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FIRMLIVO – Lehrplanpassung Realschule Bayern – BwR</dc:title>
  <dc:subject>Kompakte Zuordnung von FIRMLIVO zum LehrplanPLUS Betriebswirtschaftslehre/Rechnungswesen der Realschule Bayern</dc:subject>
  <dc:creator>FIRMLIVO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